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9E65F3" Type="http://schemas.openxmlformats.org/officeDocument/2006/relationships/officeDocument" Target="/word/document.xml" /><Relationship Id="coreR499E65F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sz w:val="24"/>
        </w:rPr>
        <w:t xml:space="preserve">                        </w:t>
      </w:r>
    </w:p>
    <w:p>
      <w:pPr>
        <w:rPr>
          <w:rStyle w:val="C3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</w:t>
      </w:r>
      <w:r>
        <w:rPr>
          <w:rStyle w:val="C3"/>
          <w:sz w:val="24"/>
        </w:rPr>
        <w:t xml:space="preserve">            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500-06/22-01/26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2140-01-22-4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23. svibnja 2022.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 i 136/21),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FF0000"/>
          <w:sz w:val="24"/>
        </w:rPr>
        <w:t xml:space="preserve">.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7. sjednici održanoj dana 23. svibnja 2022. godine donijela je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</w:t>
      </w:r>
      <w:r>
        <w:rPr>
          <w:rStyle w:val="C3"/>
          <w:b w:val="1"/>
          <w:sz w:val="24"/>
        </w:rPr>
        <w:t xml:space="preserve">imenovanju </w:t>
      </w:r>
      <w:r>
        <w:rPr>
          <w:rStyle w:val="C3"/>
          <w:b w:val="1"/>
          <w:sz w:val="24"/>
        </w:rPr>
        <w:t>mrtvozorni</w:t>
      </w:r>
      <w:r>
        <w:rPr>
          <w:rStyle w:val="C3"/>
          <w:b w:val="1"/>
          <w:sz w:val="24"/>
        </w:rPr>
        <w:t>ka</w:t>
      </w:r>
      <w:r>
        <w:rPr>
          <w:rStyle w:val="C3"/>
          <w:b w:val="1"/>
          <w:sz w:val="24"/>
        </w:rPr>
        <w:t xml:space="preserve"> za područje grada </w:t>
      </w:r>
      <w:r>
        <w:rPr>
          <w:rStyle w:val="C3"/>
          <w:b w:val="1"/>
          <w:sz w:val="24"/>
        </w:rPr>
        <w:t>Pregrade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Za obavljanje dužnosti pregleda umrlih osoba izvan zdravstvene ustanove za područje grada Pregrade imenuje se mrtvozornik</w:t>
      </w: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>Neven Hrestak</w:t>
      </w:r>
      <w:r>
        <w:rPr>
          <w:rStyle w:val="C3"/>
          <w:b w:val="1"/>
          <w:sz w:val="24"/>
        </w:rPr>
        <w:t xml:space="preserve">, med. </w:t>
      </w:r>
      <w:r>
        <w:rPr>
          <w:rStyle w:val="C3"/>
          <w:b w:val="1"/>
          <w:sz w:val="24"/>
        </w:rPr>
        <w:t>tehničar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iz Pregrade, Pod Lenartom 5.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Imenovani iz točke I. ovog Rješenja dužan je završiti propisanu edukaciju vezanu uz osposobljavanje za ispunjavanje potvrde o smrti i dodatnu edukaciju vezanu uz osposobljavanje zdravstvenih radnika koji nisu doktori medicine za obavljanje pregleda umrlih.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Imenovani iz točke I. ovog Rješenja u obavljanju mrtvozorničke djelatnosti dužan se prdržavati važećeg Pravilnika o načinu pregleda umrlih te utvrđivanju vremena i uzroka smrti i Odluke o organizaciji mrtvozorničke službe na području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V.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ab/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</w:t>
      </w:r>
      <w:r>
        <w:rPr>
          <w:rStyle w:val="C3"/>
          <w:b w:val="1"/>
          <w:sz w:val="24"/>
        </w:rPr>
        <w:t xml:space="preserve">     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ind w:firstLine="720"/>
        <w:jc w:val="both"/>
        <w:rPr>
          <w:rStyle w:val="C3"/>
          <w:sz w:val="24"/>
        </w:rPr>
      </w:pP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Neven Hrestak, med. tehničar, Pregrada, Pod Lenartom 5,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Grad Pregrada, Pregrada, Trg Gospe Kunagorske 5,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 i imovinsko-pravne poslove,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7" w:h="16840" w:code="0"/>
      <w:pgMar w:left="1134" w:right="992" w:top="1701" w:bottom="1276" w:header="720" w:footer="917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74D0B39"/>
    <w:multiLevelType w:val="hybridMultilevel"/>
    <w:lvl w:ilvl="0" w:tplc="0FDDD679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473626C1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3FEB7D27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7EC2BF73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4EF1B4C4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11E5ACFE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787D68EB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1ED12248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36E26370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2">
    <w:nsid w:val="55AE3757"/>
    <w:multiLevelType w:val="hybridMultilevel"/>
    <w:lvl w:ilvl="0" w:tplc="0F40583F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04F27274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2354095F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66475B66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5B34C41E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50930893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708AC0D7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2FCCB053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10C66708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3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60B411C0"/>
    <w:multiLevelType w:val="hybridMultilevel"/>
    <w:lvl w:ilvl="0" w:tplc="646B6B5A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17CF3C52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47866F07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494A34F0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13F2A081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400764C6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48792304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1B2C99DC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0FC4EFF6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2021-07-19T07:52:00Z</dcterms:created>
  <cp:lastModifiedBy>Zoran Gumbas</cp:lastModifiedBy>
  <cp:lastPrinted>2022-05-20T08:08:00Z</cp:lastPrinted>
  <dcterms:modified xsi:type="dcterms:W3CDTF">2022-06-08T06:53:46Z</dcterms:modified>
  <cp:revision>20</cp:revision>
  <dc:title>REPUBLIKA HRVATSKA</dc:title>
</cp:coreProperties>
</file>