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/>
        <w:drawing>
          <wp:inline distB="0" distT="0" distL="0" distR="0">
            <wp:extent cx="459105" cy="572135"/>
            <wp:effectExtent b="0" l="0" r="0" t="0"/>
            <wp:docPr descr="Grb_RH – 40 (48x60)" id="2" name="image1.jpg"/>
            <a:graphic>
              <a:graphicData uri="http://schemas.openxmlformats.org/drawingml/2006/picture">
                <pic:pic>
                  <pic:nvPicPr>
                    <pic:cNvPr descr="Grb_RH – 40 (48x60)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7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REPUBLIKA HRVATSKA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KRAPINSKO-ZAGORSKA ŽUPANIJA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Ž U P A 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KLASA</w:t>
      </w:r>
      <w:r w:rsidDel="00000000" w:rsidR="00000000" w:rsidRPr="00000000">
        <w:rPr>
          <w:highlight w:val="white"/>
          <w:rtl w:val="0"/>
        </w:rPr>
        <w:t xml:space="preserve">: 230-01/22-04/03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URBROJ: 2140-02-22-2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Krapina, 2. veljače 2022.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             Na temelju članka 32. Zakona o udrugama (Narodne novine, broj 74/14, 70/17 i 98/19), članka 9. stavka 1. Uredbe o kriterijima, mjerilima i postupcima financiranja i ugovaranja programa i projekata od interesa za opće dobro koje provode udruge (Narodne novine, broj 26/15. i 37/21) članka 12. stavka 1. Pravilnika o financiranju programa i projekata od interesa za opće dobro koje provode udruge na području Krapinsko-zagorske županije (Službeni glasnik Krapinsko-zagorske županije, broj 30A/15 i 56A/21) te članka 32. Statuta Krapinsko-zagorske županije (Službeni glasnik Krapinsko-zagorske županije, broj 13/01, 5/06, 14/09, 11/13, 13/18, 5/20, 10/21 i 15/21-pročišćeni tekst), župan Krapinsko-zagorske županije donosi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D L U K U</w:t>
      </w:r>
    </w:p>
    <w:p w:rsidR="00000000" w:rsidDel="00000000" w:rsidP="00000000" w:rsidRDefault="00000000" w:rsidRPr="00000000" w14:paraId="00000011">
      <w:pPr>
        <w:tabs>
          <w:tab w:val="left" w:pos="2694"/>
        </w:tabs>
        <w:jc w:val="center"/>
        <w:rPr/>
      </w:pPr>
      <w:r w:rsidDel="00000000" w:rsidR="00000000" w:rsidRPr="00000000">
        <w:rPr>
          <w:rtl w:val="0"/>
        </w:rPr>
        <w:t xml:space="preserve">o načinu raspodjele sredstava namijenjenih financiranju programa </w:t>
      </w:r>
    </w:p>
    <w:p w:rsidR="00000000" w:rsidDel="00000000" w:rsidP="00000000" w:rsidRDefault="00000000" w:rsidRPr="00000000" w14:paraId="00000012">
      <w:pPr>
        <w:tabs>
          <w:tab w:val="left" w:pos="2694"/>
        </w:tabs>
        <w:jc w:val="center"/>
        <w:rPr/>
      </w:pPr>
      <w:r w:rsidDel="00000000" w:rsidR="00000000" w:rsidRPr="00000000">
        <w:rPr>
          <w:rtl w:val="0"/>
        </w:rPr>
        <w:t xml:space="preserve"> usmjerenih očuvanju digniteta Domovinskog rata i psihosocijalne podrške hrvatskim braniteljima na području Krapinsko-zagorske županije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Ovom Odlukom o načinu raspodjele sredstava namijenjenih financiranju programa  usmjerenih očuvanju digniteta Domovinskog rata i psihosocijalne podrške hrvatskim braniteljima na području Krapinsko-zagorske županije (dalje u tekstu: Odluka) utvrđuje se financijski okvir dodjele sredstava udrugama po Javnom pozivu udrugama za prijavu programa i projekata usmjerenih očuvanju digniteta i promicanju istine o Domovinskom ratu, psihološko i socijalno osnaživanje te podizanje kvalitete življenja hrvatskih branitelja na području Krapinsko-zagorske županije (dalje u tekstu: Javni poziv) te se utvrđuje dokumentacija za provedbu Javnog poziva (dalje u tekstu: Natječajna dokumentacija).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Financijska sredstva namijenjena financiranju programa usmjerenih očuvanju digniteta Domovinskog rata i psihosocijalne podrške hrvatskim braniteljima na području Krapinsko-zagorske županije u iznosu od 250.000,00 kuna, osigurana su u Proračunu Krapinsko-zagorske županije za 2022. godinu na razdjelu 006, glavni program M01, program 1001, aktivnost A102000, stavka R1183, te će putem javnog poziva biti dodijeljena udrugama koje provode programe i projekte usmjerene očuvanju digniteta i promicanju istine o Domovinskom ratu, psihološko i socijalno osnaživanje te podizanje kvalitete življenja hrvatskih branitelja na području Krapinsko-zagorske županije, putem Javnog poziva.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Sredstva iz točke II. ove Odluke, rasporediti će se putem javnog poziva udrugama za provedbu programa i projekata čije trajanje iznosi najviše 12 mjeseci, u skladu s Natječajnom dokumentacijom koja se nalazi u prilogu ove Odluke i njezin je sastavni dio.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Natječajna dokumentacija obuhvaća: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Pravilnik o financiranju programa i projekta od interesa za opće dobro koje provode</w:t>
      </w:r>
    </w:p>
    <w:p w:rsidR="00000000" w:rsidDel="00000000" w:rsidP="00000000" w:rsidRDefault="00000000" w:rsidRPr="00000000" w14:paraId="00000026">
      <w:pPr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 udruge na području Krapinsko-zagorske županije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Tekst Javnog poziva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Upute za prijavitelje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Obrasce za prijavu programa/projekata,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Obrazac za procjenu kvalitete/vrijednosti programa/projekta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Obrasce za provedbu programa/projekta i izvještavanje.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Obrasci za prijavu iz stavka 1. ove točke su:</w:t>
      </w:r>
    </w:p>
    <w:p w:rsidR="00000000" w:rsidDel="00000000" w:rsidP="00000000" w:rsidRDefault="00000000" w:rsidRPr="00000000" w14:paraId="0000002E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4.1. Obrazac prijave (opisa) programa/projekta</w:t>
      </w:r>
    </w:p>
    <w:p w:rsidR="00000000" w:rsidDel="00000000" w:rsidP="00000000" w:rsidRDefault="00000000" w:rsidRPr="00000000" w14:paraId="0000002F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4.2. Obrazac proračuna program/projekta </w:t>
      </w:r>
    </w:p>
    <w:p w:rsidR="00000000" w:rsidDel="00000000" w:rsidP="00000000" w:rsidRDefault="00000000" w:rsidRPr="00000000" w14:paraId="00000030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4.3. Obrazac izjave prijavitelja</w:t>
      </w:r>
    </w:p>
    <w:p w:rsidR="00000000" w:rsidDel="00000000" w:rsidP="00000000" w:rsidRDefault="00000000" w:rsidRPr="00000000" w14:paraId="00000031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4.4. Obrazac izjave o partnerstvu (ako je primjenjivo) </w:t>
      </w:r>
    </w:p>
    <w:p w:rsidR="00000000" w:rsidDel="00000000" w:rsidP="00000000" w:rsidRDefault="00000000" w:rsidRPr="00000000" w14:paraId="00000032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4.5. Obrazac izjave o zapošljavanju (ako je primjenjivo)</w:t>
      </w:r>
    </w:p>
    <w:p w:rsidR="00000000" w:rsidDel="00000000" w:rsidP="00000000" w:rsidRDefault="00000000" w:rsidRPr="00000000" w14:paraId="00000033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4.6. Obrazac izjave o nepostojanju dvostrukog financiranja</w:t>
      </w:r>
    </w:p>
    <w:p w:rsidR="00000000" w:rsidDel="00000000" w:rsidP="00000000" w:rsidRDefault="00000000" w:rsidRPr="00000000" w14:paraId="00000034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4.7. Obrazac</w:t>
      </w:r>
      <w:r w:rsidDel="00000000" w:rsidR="00000000" w:rsidRPr="00000000">
        <w:rPr>
          <w:rtl w:val="0"/>
        </w:rPr>
        <w:t xml:space="preserve"> izjave udruge koja nema registrirano sjedište na području Krapinsko-zagorske županije.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Obrasci za provedbu programa/projekta i izvještavanje iz stavka 1. ove točke su:</w:t>
      </w:r>
    </w:p>
    <w:p w:rsidR="00000000" w:rsidDel="00000000" w:rsidP="00000000" w:rsidRDefault="00000000" w:rsidRPr="00000000" w14:paraId="00000037">
      <w:pPr>
        <w:ind w:left="567" w:hanging="141"/>
        <w:jc w:val="both"/>
        <w:rPr/>
      </w:pPr>
      <w:r w:rsidDel="00000000" w:rsidR="00000000" w:rsidRPr="00000000">
        <w:rPr>
          <w:rtl w:val="0"/>
        </w:rPr>
        <w:t xml:space="preserve">6.1. Obrazac ugovora o financiranju programa/projekta</w:t>
      </w:r>
    </w:p>
    <w:p w:rsidR="00000000" w:rsidDel="00000000" w:rsidP="00000000" w:rsidRDefault="00000000" w:rsidRPr="00000000" w14:paraId="00000038">
      <w:pPr>
        <w:ind w:left="567" w:hanging="141"/>
        <w:jc w:val="both"/>
        <w:rPr/>
      </w:pPr>
      <w:r w:rsidDel="00000000" w:rsidR="00000000" w:rsidRPr="00000000">
        <w:rPr>
          <w:rtl w:val="0"/>
        </w:rPr>
        <w:t xml:space="preserve">6.2. Obrazac opisnog izvještaja provedbe programa/projekta </w:t>
      </w:r>
    </w:p>
    <w:p w:rsidR="00000000" w:rsidDel="00000000" w:rsidP="00000000" w:rsidRDefault="00000000" w:rsidRPr="00000000" w14:paraId="00000039">
      <w:pPr>
        <w:ind w:left="567" w:hanging="141"/>
        <w:jc w:val="both"/>
        <w:rPr/>
      </w:pPr>
      <w:r w:rsidDel="00000000" w:rsidR="00000000" w:rsidRPr="00000000">
        <w:rPr>
          <w:rtl w:val="0"/>
        </w:rPr>
        <w:t xml:space="preserve">6.3. Obrazac financijskog izvještaja provedbe programa/projekta.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V.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Natječajna dokumentacija u cijelosti će biti objavljena na službenim mrežnim stranicama Krapinsko-zagorske županije (www.kzz.hr).</w:t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VI.</w:t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Za provođenje postupka Javnog poziva osnovati će se Povjerenstvo za provjeru ispunjavanja propisanih uvjeta Javnog poziva za prijavu programa i projekata usmjerenih očuvanju digniteta i promicanju istine o Domovinskom ratu, psihološko i socijalno osnaživanje te podizanje kvalitete življenja hrvatskih branitelja na području Krapinsko-zagorske županije.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Za procjenu zaprimljenih prijava koje su uspješno ispunile provjeru propisanih uvjeta Javnog poziva, osnovati će se 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VII.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Na temelju provedenog postupka ocjenjivanja prijava, župan donosi Odluku o programima/projektima koji su dobili financijska sredstva temeljem Javnog poziva udrugama za prijavu programa i projekata usmjerenih očuvanju digniteta i promicanju istine o Domovinskom ratu, psihološko i socijalno osnaživanje te podizanje kvalitete življenja hrvatskih branitelja na području Krapinsko-zagorske županije.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Na temelju Odluke iz stavka 1. ove točke Krapinsko-zagorska županija će s nositeljima programa/projekata sklopiti ugovore o financiranju.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</w:t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Odluka iz točke VII. objaviti će se na mrežnim stranicama Krapinsko-zagorske županije.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IX.</w:t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Za provedbu ove Odluke zadužuje se Upravni odjel za zdravstvo, socijalnu politiku, branitelje, civilno društvo i mlade. 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X.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Ova Odluka objaviti će se u Službenom glasniku Krapinsko-zagorske županije.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Ž U P A N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Željko Kolar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Dostaviti: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1. Upravni odjel za zdravstvo, socijalnu politiku, branitelje, civilno društvo i mlade,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2. Upravni odjel za financije i proračun,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3. Službeni glasnik Krapinsko-zagorske županije,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    ovdje, za objavu,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4. Za Zbirku isprava,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5. Pismohrana.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324385"/>
    <w:rPr>
      <w:rFonts w:ascii="Segoe UI" w:hAnsi="Segoe UI"/>
      <w:sz w:val="18"/>
      <w:szCs w:val="18"/>
      <w:lang w:eastAsia="x-none" w:val="x-none"/>
    </w:rPr>
  </w:style>
  <w:style w:type="character" w:styleId="TekstbaloniaChar" w:customStyle="1">
    <w:name w:val="Tekst balončića Char"/>
    <w:link w:val="Tekstbalonia"/>
    <w:uiPriority w:val="99"/>
    <w:semiHidden w:val="1"/>
    <w:rsid w:val="00324385"/>
    <w:rPr>
      <w:rFonts w:ascii="Segoe UI" w:cs="Segoe UI" w:hAnsi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98684C"/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98684C"/>
  </w:style>
  <w:style w:type="character" w:styleId="Referencakomentara">
    <w:name w:val="annotation reference"/>
    <w:uiPriority w:val="99"/>
    <w:semiHidden w:val="1"/>
    <w:unhideWhenUsed w:val="1"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9F3850"/>
    <w:rPr>
      <w:b w:val="1"/>
      <w:bCs w:val="1"/>
    </w:rPr>
  </w:style>
  <w:style w:type="character" w:styleId="PredmetkomentaraChar" w:customStyle="1">
    <w:name w:val="Predmet komentara Char"/>
    <w:link w:val="Predmetkomentara"/>
    <w:uiPriority w:val="99"/>
    <w:semiHidden w:val="1"/>
    <w:rsid w:val="009F385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bmlyKo7TVsVBgFdpFvub1wVew==">AMUW2mX+y/O50GrgHa8PUlP5XpUCusHqsTwPTSrC1UgJku9wq54NOzKLAlDM4GLToQfV4ArscTS5vL83CEyi85gkt7RCBvVTPPHTHOVO2ik8+8Gm0PYh81KpB80oOfAQKO7NmC9Pdv8k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2020-06-15T15:14:00Z</dcterms:created>
  <dc:creator>ksenijac</dc:creator>
</cp:coreProperties>
</file>