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7" w:rsidRDefault="00471E87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4C" w:rsidRDefault="00BE074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2B" w:rsidRDefault="00B131AD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361-01/17-01/305</w:t>
      </w:r>
    </w:p>
    <w:p w:rsidR="00903D50" w:rsidRDefault="00B75F2B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</w:t>
      </w:r>
      <w:r w:rsidR="00420FCC">
        <w:rPr>
          <w:rFonts w:ascii="Times New Roman" w:hAnsi="Times New Roman" w:cs="Times New Roman"/>
          <w:sz w:val="24"/>
          <w:szCs w:val="24"/>
        </w:rPr>
        <w:t>8</w:t>
      </w:r>
    </w:p>
    <w:p w:rsidR="00903D50" w:rsidRDefault="00B131AD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9. listopada</w:t>
      </w:r>
      <w:r w:rsidR="00907853">
        <w:rPr>
          <w:rFonts w:ascii="Times New Roman" w:hAnsi="Times New Roman" w:cs="Times New Roman"/>
          <w:sz w:val="24"/>
          <w:szCs w:val="24"/>
        </w:rPr>
        <w:t xml:space="preserve"> </w:t>
      </w:r>
      <w:r w:rsidR="00D16A80">
        <w:rPr>
          <w:rFonts w:ascii="Times New Roman" w:hAnsi="Times New Roman" w:cs="Times New Roman"/>
          <w:sz w:val="24"/>
          <w:szCs w:val="24"/>
        </w:rPr>
        <w:t>2017</w:t>
      </w:r>
      <w:r w:rsidR="00903D50">
        <w:rPr>
          <w:rFonts w:ascii="Times New Roman" w:hAnsi="Times New Roman" w:cs="Times New Roman"/>
          <w:sz w:val="24"/>
          <w:szCs w:val="24"/>
        </w:rPr>
        <w:t>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sastanka </w:t>
      </w:r>
      <w:r w:rsidR="00FD5849">
        <w:rPr>
          <w:rFonts w:ascii="Times New Roman" w:hAnsi="Times New Roman" w:cs="Times New Roman"/>
          <w:sz w:val="24"/>
          <w:szCs w:val="24"/>
        </w:rPr>
        <w:t xml:space="preserve">Stručnog povjerenstva za provedbu postupka jednostavne nabave </w:t>
      </w:r>
      <w:r w:rsidR="00B131AD">
        <w:rPr>
          <w:rFonts w:ascii="Times New Roman" w:hAnsi="Times New Roman" w:cs="Times New Roman"/>
          <w:sz w:val="24"/>
          <w:szCs w:val="24"/>
        </w:rPr>
        <w:t>za izvođenje radova na energetskoj obnovi vanjske ovojnice Područne škole Lučelnica, održanog dana 9</w:t>
      </w:r>
      <w:r w:rsidR="008B3E7E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B85700">
        <w:rPr>
          <w:rFonts w:ascii="Times New Roman" w:hAnsi="Times New Roman" w:cs="Times New Roman"/>
          <w:sz w:val="24"/>
          <w:szCs w:val="24"/>
        </w:rPr>
        <w:t>2017. godine s početkom u 8:</w:t>
      </w:r>
      <w:r w:rsidR="00E44376">
        <w:rPr>
          <w:rFonts w:ascii="Times New Roman" w:hAnsi="Times New Roman" w:cs="Times New Roman"/>
          <w:sz w:val="24"/>
          <w:szCs w:val="24"/>
        </w:rPr>
        <w:t>00 sati u prostorijama Krapinsko</w:t>
      </w:r>
      <w:r w:rsidR="00B85700">
        <w:rPr>
          <w:rFonts w:ascii="Times New Roman" w:hAnsi="Times New Roman" w:cs="Times New Roman"/>
          <w:sz w:val="24"/>
          <w:szCs w:val="24"/>
        </w:rPr>
        <w:t xml:space="preserve">-zagorske županije, Magistratska 1, Krapina. </w:t>
      </w:r>
    </w:p>
    <w:p w:rsidR="00B85700" w:rsidRPr="00B85700" w:rsidRDefault="00B8570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3D50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="00903D50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3D50">
        <w:rPr>
          <w:rFonts w:ascii="Times New Roman" w:hAnsi="Times New Roman" w:cs="Times New Roman"/>
          <w:b/>
          <w:sz w:val="24"/>
          <w:szCs w:val="24"/>
        </w:rPr>
        <w:t>Predmet nabave</w:t>
      </w:r>
      <w:r w:rsidR="00E44376">
        <w:rPr>
          <w:rFonts w:ascii="Times New Roman" w:hAnsi="Times New Roman" w:cs="Times New Roman"/>
          <w:sz w:val="24"/>
          <w:szCs w:val="24"/>
        </w:rPr>
        <w:t>: Izvođenje radova na energetskoj obnovi vanjske ovojnice područne škole Lučenica.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="00903D50">
        <w:rPr>
          <w:rFonts w:ascii="Times New Roman" w:hAnsi="Times New Roman" w:cs="Times New Roman"/>
          <w:sz w:val="24"/>
          <w:szCs w:val="24"/>
        </w:rPr>
        <w:t>Postupak</w:t>
      </w:r>
      <w:r w:rsidR="00FD5849">
        <w:rPr>
          <w:rFonts w:ascii="Times New Roman" w:hAnsi="Times New Roman" w:cs="Times New Roman"/>
          <w:sz w:val="24"/>
          <w:szCs w:val="24"/>
        </w:rPr>
        <w:t xml:space="preserve"> jednostavne N</w:t>
      </w:r>
      <w:r w:rsidR="00903D50">
        <w:rPr>
          <w:rFonts w:ascii="Times New Roman" w:hAnsi="Times New Roman" w:cs="Times New Roman"/>
          <w:sz w:val="24"/>
          <w:szCs w:val="24"/>
        </w:rPr>
        <w:t>aručitelj je pro</w:t>
      </w:r>
      <w:r w:rsidR="00FD5849">
        <w:rPr>
          <w:rFonts w:ascii="Times New Roman" w:hAnsi="Times New Roman" w:cs="Times New Roman"/>
          <w:sz w:val="24"/>
          <w:szCs w:val="24"/>
        </w:rPr>
        <w:t>veo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 Pravilnika o provedbi postupaka jednostavne nabave robe, radova i usluga </w:t>
      </w:r>
      <w:r w:rsidR="00903D50">
        <w:rPr>
          <w:rFonts w:ascii="Times New Roman" w:hAnsi="Times New Roman" w:cs="Times New Roman"/>
          <w:sz w:val="24"/>
          <w:szCs w:val="24"/>
        </w:rPr>
        <w:t xml:space="preserve"> („Službeni glasnik Krapinsko-zagorske župan</w:t>
      </w:r>
      <w:r w:rsidR="00FD5849">
        <w:rPr>
          <w:rFonts w:ascii="Times New Roman" w:hAnsi="Times New Roman" w:cs="Times New Roman"/>
          <w:sz w:val="24"/>
          <w:szCs w:val="24"/>
        </w:rPr>
        <w:t>ije“, broj 24/17</w:t>
      </w:r>
      <w:r w:rsidR="00B75F2B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dalje u tekstu: Pravilnik) </w:t>
      </w:r>
      <w:r w:rsidR="00420FCC">
        <w:rPr>
          <w:rFonts w:ascii="Times New Roman" w:hAnsi="Times New Roman" w:cs="Times New Roman"/>
          <w:sz w:val="24"/>
          <w:szCs w:val="24"/>
        </w:rPr>
        <w:t>objavom poziva na dostavu ponuda na web stranici Naručitelja.</w:t>
      </w:r>
    </w:p>
    <w:p w:rsidR="00420FCC" w:rsidRDefault="00420FCC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90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420FCC">
        <w:rPr>
          <w:rFonts w:ascii="Times New Roman" w:hAnsi="Times New Roman" w:cs="Times New Roman"/>
          <w:sz w:val="24"/>
          <w:szCs w:val="24"/>
        </w:rPr>
        <w:t>370.4</w:t>
      </w:r>
      <w:r w:rsidR="00FD5849">
        <w:rPr>
          <w:rFonts w:ascii="Times New Roman" w:hAnsi="Times New Roman" w:cs="Times New Roman"/>
          <w:sz w:val="24"/>
          <w:szCs w:val="24"/>
        </w:rPr>
        <w:t xml:space="preserve">00,00 </w:t>
      </w:r>
      <w:r w:rsidR="00903D50">
        <w:rPr>
          <w:rFonts w:ascii="Times New Roman" w:hAnsi="Times New Roman" w:cs="Times New Roman"/>
          <w:sz w:val="24"/>
          <w:szCs w:val="24"/>
        </w:rPr>
        <w:t>kuna bez PDV-a.</w:t>
      </w:r>
    </w:p>
    <w:p w:rsidR="00903D50" w:rsidRDefault="00903D50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49" w:rsidRDefault="00A87CAF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420FCC">
        <w:rPr>
          <w:rFonts w:ascii="Times New Roman" w:hAnsi="Times New Roman" w:cs="Times New Roman"/>
          <w:sz w:val="24"/>
          <w:szCs w:val="24"/>
        </w:rPr>
        <w:t>KLASA: 361-01/17-01/305</w:t>
      </w:r>
      <w:r w:rsidR="00FD5849">
        <w:rPr>
          <w:rFonts w:ascii="Times New Roman" w:hAnsi="Times New Roman" w:cs="Times New Roman"/>
          <w:sz w:val="24"/>
          <w:szCs w:val="24"/>
        </w:rPr>
        <w:t>,</w:t>
      </w:r>
      <w:r w:rsidR="00903D50">
        <w:rPr>
          <w:rFonts w:ascii="Times New Roman" w:hAnsi="Times New Roman" w:cs="Times New Roman"/>
          <w:sz w:val="24"/>
          <w:szCs w:val="24"/>
        </w:rPr>
        <w:t xml:space="preserve">  URBROJ: </w:t>
      </w:r>
      <w:r w:rsidR="00420FCC">
        <w:rPr>
          <w:rFonts w:ascii="Times New Roman" w:hAnsi="Times New Roman" w:cs="Times New Roman"/>
          <w:sz w:val="24"/>
          <w:szCs w:val="24"/>
        </w:rPr>
        <w:t xml:space="preserve">2140/01-02-17-4 od 29. rujna </w:t>
      </w:r>
      <w:r w:rsidR="00A63CF3">
        <w:rPr>
          <w:rFonts w:ascii="Times New Roman" w:hAnsi="Times New Roman" w:cs="Times New Roman"/>
          <w:sz w:val="24"/>
          <w:szCs w:val="24"/>
        </w:rPr>
        <w:t>2017</w:t>
      </w:r>
      <w:r w:rsidR="00903D50">
        <w:rPr>
          <w:rFonts w:ascii="Times New Roman" w:hAnsi="Times New Roman" w:cs="Times New Roman"/>
          <w:sz w:val="24"/>
          <w:szCs w:val="24"/>
        </w:rPr>
        <w:t>. god</w:t>
      </w:r>
      <w:r w:rsidR="00B75F2B">
        <w:rPr>
          <w:rFonts w:ascii="Times New Roman" w:hAnsi="Times New Roman" w:cs="Times New Roman"/>
          <w:sz w:val="24"/>
          <w:szCs w:val="24"/>
        </w:rPr>
        <w:t>ine</w:t>
      </w:r>
      <w:r w:rsidR="00746626">
        <w:rPr>
          <w:rFonts w:ascii="Times New Roman" w:hAnsi="Times New Roman" w:cs="Times New Roman"/>
          <w:sz w:val="24"/>
          <w:szCs w:val="24"/>
        </w:rPr>
        <w:t xml:space="preserve"> (dalje u tekstu: Poziv na dostavu ponude)</w:t>
      </w:r>
      <w:r w:rsidR="00FD5849">
        <w:rPr>
          <w:rFonts w:ascii="Times New Roman" w:hAnsi="Times New Roman" w:cs="Times New Roman"/>
          <w:sz w:val="24"/>
          <w:szCs w:val="24"/>
        </w:rPr>
        <w:t>, sukladno članku 8</w:t>
      </w:r>
      <w:r w:rsidR="00420FCC">
        <w:rPr>
          <w:rFonts w:ascii="Times New Roman" w:hAnsi="Times New Roman" w:cs="Times New Roman"/>
          <w:sz w:val="24"/>
          <w:szCs w:val="24"/>
        </w:rPr>
        <w:t>. stavku 3</w:t>
      </w:r>
      <w:r w:rsidR="00903D50">
        <w:rPr>
          <w:rFonts w:ascii="Times New Roman" w:hAnsi="Times New Roman" w:cs="Times New Roman"/>
          <w:sz w:val="24"/>
          <w:szCs w:val="24"/>
        </w:rPr>
        <w:t>.</w:t>
      </w:r>
      <w:r w:rsidR="00FD5849">
        <w:rPr>
          <w:rFonts w:ascii="Times New Roman" w:hAnsi="Times New Roman" w:cs="Times New Roman"/>
          <w:sz w:val="24"/>
          <w:szCs w:val="24"/>
        </w:rPr>
        <w:t xml:space="preserve">, </w:t>
      </w:r>
      <w:r w:rsidR="00420FCC">
        <w:rPr>
          <w:rFonts w:ascii="Times New Roman" w:hAnsi="Times New Roman" w:cs="Times New Roman"/>
          <w:sz w:val="24"/>
          <w:szCs w:val="24"/>
        </w:rPr>
        <w:t xml:space="preserve">objavljen je na web stranicama Naručitelja </w:t>
      </w:r>
      <w:hyperlink r:id="rId9" w:history="1">
        <w:r w:rsidR="00420FCC" w:rsidRPr="00D155C6">
          <w:rPr>
            <w:rStyle w:val="Hiperveza"/>
            <w:rFonts w:ascii="Times New Roman" w:hAnsi="Times New Roman" w:cs="Times New Roman"/>
            <w:sz w:val="24"/>
            <w:szCs w:val="24"/>
          </w:rPr>
          <w:t>http://www.kzz.hr/nabava-radovi-podrucna-skola-lucelnica</w:t>
        </w:r>
      </w:hyperlink>
    </w:p>
    <w:p w:rsidR="00420FCC" w:rsidRDefault="00420FCC" w:rsidP="0042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50" w:rsidRDefault="00A87CAF" w:rsidP="00A63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3D50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="0074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CC">
        <w:rPr>
          <w:rFonts w:ascii="Times New Roman" w:hAnsi="Times New Roman" w:cs="Times New Roman"/>
          <w:sz w:val="24"/>
          <w:szCs w:val="24"/>
        </w:rPr>
        <w:t>određen je za dan 9. listopad</w:t>
      </w:r>
      <w:r w:rsidR="00A6376F">
        <w:rPr>
          <w:rFonts w:ascii="Times New Roman" w:hAnsi="Times New Roman" w:cs="Times New Roman"/>
          <w:sz w:val="24"/>
          <w:szCs w:val="24"/>
        </w:rPr>
        <w:t xml:space="preserve"> 2017. godine.</w:t>
      </w:r>
      <w:r w:rsidR="00A63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D50" w:rsidRDefault="00A87CAF" w:rsidP="0090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="00903D50">
        <w:rPr>
          <w:rFonts w:ascii="Times New Roman" w:hAnsi="Times New Roman" w:cs="Times New Roman"/>
          <w:sz w:val="24"/>
          <w:szCs w:val="24"/>
        </w:rPr>
        <w:t xml:space="preserve">U roku za </w:t>
      </w:r>
      <w:r w:rsidR="007A5BBC">
        <w:rPr>
          <w:rFonts w:ascii="Times New Roman" w:hAnsi="Times New Roman" w:cs="Times New Roman"/>
          <w:sz w:val="24"/>
          <w:szCs w:val="24"/>
        </w:rPr>
        <w:t>dostavu</w:t>
      </w:r>
      <w:r w:rsidR="00F814A6">
        <w:rPr>
          <w:rFonts w:ascii="Times New Roman" w:hAnsi="Times New Roman" w:cs="Times New Roman"/>
          <w:sz w:val="24"/>
          <w:szCs w:val="24"/>
        </w:rPr>
        <w:t xml:space="preserve"> ponude</w:t>
      </w:r>
      <w:r w:rsidR="007A5BBC">
        <w:rPr>
          <w:rFonts w:ascii="Times New Roman" w:hAnsi="Times New Roman" w:cs="Times New Roman"/>
          <w:sz w:val="24"/>
          <w:szCs w:val="24"/>
        </w:rPr>
        <w:t>, ponudu su dostavili</w:t>
      </w:r>
      <w:r w:rsidR="00903D50">
        <w:rPr>
          <w:rFonts w:ascii="Times New Roman" w:hAnsi="Times New Roman" w:cs="Times New Roman"/>
          <w:sz w:val="24"/>
          <w:szCs w:val="24"/>
        </w:rPr>
        <w:t xml:space="preserve"> sljedeći gospodarski subjekt</w:t>
      </w:r>
      <w:r w:rsidR="00EA0E0C">
        <w:rPr>
          <w:rFonts w:ascii="Times New Roman" w:hAnsi="Times New Roman" w:cs="Times New Roman"/>
          <w:sz w:val="24"/>
          <w:szCs w:val="24"/>
        </w:rPr>
        <w:t>i</w:t>
      </w:r>
      <w:r w:rsidR="007A5BBC">
        <w:rPr>
          <w:rFonts w:ascii="Times New Roman" w:hAnsi="Times New Roman" w:cs="Times New Roman"/>
          <w:sz w:val="24"/>
          <w:szCs w:val="24"/>
        </w:rPr>
        <w:t>:</w:t>
      </w:r>
    </w:p>
    <w:p w:rsidR="00CC6062" w:rsidRDefault="00420FCC" w:rsidP="0090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ZAJEDNIČKA OBRTNIČKA RADNJA „GAŠPAR“,</w:t>
      </w:r>
      <w:r w:rsidR="009556F7">
        <w:rPr>
          <w:rFonts w:ascii="Times New Roman" w:eastAsia="Calibri" w:hAnsi="Times New Roman" w:cs="Times New Roman"/>
          <w:sz w:val="24"/>
          <w:szCs w:val="24"/>
        </w:rPr>
        <w:t xml:space="preserve"> vl. Dubravko</w:t>
      </w:r>
      <w:r w:rsidR="00366B57">
        <w:rPr>
          <w:rFonts w:ascii="Times New Roman" w:eastAsia="Calibri" w:hAnsi="Times New Roman" w:cs="Times New Roman"/>
          <w:sz w:val="24"/>
          <w:szCs w:val="24"/>
        </w:rPr>
        <w:t xml:space="preserve"> Gašpar</w:t>
      </w:r>
      <w:r w:rsidR="009556F7">
        <w:rPr>
          <w:rFonts w:ascii="Times New Roman" w:eastAsia="Calibri" w:hAnsi="Times New Roman" w:cs="Times New Roman"/>
          <w:sz w:val="24"/>
          <w:szCs w:val="24"/>
        </w:rPr>
        <w:t xml:space="preserve"> i Zlatko Gašpar, Police 54, Klanjec</w:t>
      </w:r>
    </w:p>
    <w:p w:rsidR="00420FCC" w:rsidRDefault="00420FCC" w:rsidP="0090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ZAGORJEGRADNJA d.o.o.</w:t>
      </w:r>
      <w:r w:rsidR="009556F7">
        <w:rPr>
          <w:rFonts w:ascii="Times New Roman" w:eastAsia="Calibri" w:hAnsi="Times New Roman" w:cs="Times New Roman"/>
          <w:sz w:val="24"/>
          <w:szCs w:val="24"/>
        </w:rPr>
        <w:t>,  Kraljevec na Sutli 147, Kraljevec na Sutli</w:t>
      </w:r>
    </w:p>
    <w:p w:rsidR="00420FCC" w:rsidRDefault="00420FCC" w:rsidP="0090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A6" w:rsidRDefault="00A87CAF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903D50">
        <w:rPr>
          <w:rFonts w:ascii="Times New Roman" w:hAnsi="Times New Roman" w:cs="Times New Roman"/>
          <w:b/>
          <w:sz w:val="24"/>
          <w:szCs w:val="24"/>
        </w:rPr>
        <w:t>Ponudu su</w:t>
      </w:r>
      <w:r w:rsidR="00420FCC">
        <w:rPr>
          <w:rFonts w:ascii="Times New Roman" w:hAnsi="Times New Roman" w:cs="Times New Roman"/>
          <w:b/>
          <w:sz w:val="24"/>
          <w:szCs w:val="24"/>
        </w:rPr>
        <w:t xml:space="preserve"> otvorili članovi Stručnog povjerenstva</w:t>
      </w:r>
      <w:r w:rsidR="00903D50">
        <w:rPr>
          <w:rFonts w:ascii="Times New Roman" w:hAnsi="Times New Roman" w:cs="Times New Roman"/>
          <w:b/>
          <w:sz w:val="24"/>
          <w:szCs w:val="24"/>
        </w:rPr>
        <w:t xml:space="preserve"> Naručitelja </w:t>
      </w:r>
      <w:r w:rsidR="00DE0DB0">
        <w:rPr>
          <w:rFonts w:ascii="Times New Roman" w:hAnsi="Times New Roman" w:cs="Times New Roman"/>
          <w:sz w:val="24"/>
          <w:szCs w:val="24"/>
        </w:rPr>
        <w:t>dana 7. rujna</w:t>
      </w:r>
      <w:r w:rsidR="00A6376F">
        <w:rPr>
          <w:rFonts w:ascii="Times New Roman" w:hAnsi="Times New Roman" w:cs="Times New Roman"/>
          <w:sz w:val="24"/>
          <w:szCs w:val="24"/>
        </w:rPr>
        <w:t xml:space="preserve"> 2017. godine u 8</w:t>
      </w:r>
      <w:r w:rsidR="00903D50">
        <w:rPr>
          <w:rFonts w:ascii="Times New Roman" w:hAnsi="Times New Roman" w:cs="Times New Roman"/>
          <w:sz w:val="24"/>
          <w:szCs w:val="24"/>
        </w:rPr>
        <w:t>:00 sati.</w:t>
      </w:r>
    </w:p>
    <w:p w:rsidR="00F814A6" w:rsidRDefault="00F814A6" w:rsidP="00F0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A6" w:rsidRPr="00F06CF8" w:rsidRDefault="00A87CAF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814A6" w:rsidRPr="00F06CF8">
        <w:rPr>
          <w:rFonts w:ascii="Times New Roman" w:hAnsi="Times New Roman" w:cs="Times New Roman"/>
          <w:b/>
          <w:sz w:val="24"/>
          <w:szCs w:val="24"/>
        </w:rPr>
        <w:t>Analitički</w:t>
      </w:r>
      <w:r w:rsidR="00F814A6">
        <w:rPr>
          <w:rFonts w:ascii="Times New Roman" w:hAnsi="Times New Roman" w:cs="Times New Roman"/>
          <w:b/>
          <w:sz w:val="24"/>
          <w:szCs w:val="24"/>
        </w:rPr>
        <w:t xml:space="preserve"> prikaz pravovremeno zaprimljenih ponuda</w:t>
      </w:r>
      <w:r w:rsidR="00F814A6" w:rsidRPr="00F06CF8">
        <w:rPr>
          <w:rFonts w:ascii="Times New Roman" w:hAnsi="Times New Roman" w:cs="Times New Roman"/>
          <w:sz w:val="24"/>
          <w:szCs w:val="24"/>
        </w:rPr>
        <w:t>:</w:t>
      </w:r>
    </w:p>
    <w:p w:rsidR="00F814A6" w:rsidRPr="00F06CF8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416" w:type="dxa"/>
        <w:tblInd w:w="0" w:type="dxa"/>
        <w:tblLook w:val="04A0" w:firstRow="1" w:lastRow="0" w:firstColumn="1" w:lastColumn="0" w:noHBand="0" w:noVBand="1"/>
      </w:tblPr>
      <w:tblGrid>
        <w:gridCol w:w="3932"/>
        <w:gridCol w:w="2486"/>
        <w:gridCol w:w="2769"/>
        <w:gridCol w:w="229"/>
      </w:tblGrid>
      <w:tr w:rsidR="00F814A6" w:rsidRPr="005D4A46" w:rsidTr="00804367">
        <w:trPr>
          <w:gridAfter w:val="1"/>
          <w:wAfter w:w="230" w:type="dxa"/>
          <w:trHeight w:val="12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814A6" w:rsidRPr="005D4A46" w:rsidRDefault="00F814A6" w:rsidP="006A0B44">
            <w:pPr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814A6" w:rsidRPr="005D4A46" w:rsidRDefault="00205ED3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ZAJEDNIČKA OBRTNIČKA RADNJA „GAŠPAR“</w:t>
            </w:r>
            <w:r w:rsidR="009556F7">
              <w:rPr>
                <w:rFonts w:ascii="Times New Roman" w:hAnsi="Times New Roman" w:cs="Times New Roman"/>
                <w:b/>
              </w:rPr>
              <w:t xml:space="preserve"> vl. Dubravko </w:t>
            </w:r>
            <w:r w:rsidR="00832552">
              <w:rPr>
                <w:rFonts w:ascii="Times New Roman" w:hAnsi="Times New Roman" w:cs="Times New Roman"/>
                <w:b/>
              </w:rPr>
              <w:t xml:space="preserve">Gašpar </w:t>
            </w:r>
            <w:r w:rsidR="009556F7">
              <w:rPr>
                <w:rFonts w:ascii="Times New Roman" w:hAnsi="Times New Roman" w:cs="Times New Roman"/>
                <w:b/>
              </w:rPr>
              <w:t>i Zlatko Gašpar, OIB: 04339738870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14A6" w:rsidRPr="005D4A46" w:rsidRDefault="00205ED3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ZAGORJEGRADNJA d.o.o.</w:t>
            </w:r>
            <w:r w:rsidR="009556F7">
              <w:rPr>
                <w:rFonts w:ascii="Times New Roman" w:hAnsi="Times New Roman" w:cs="Times New Roman"/>
                <w:b/>
              </w:rPr>
              <w:t xml:space="preserve">,  Kraljevec </w:t>
            </w:r>
            <w:r w:rsidR="00265114">
              <w:rPr>
                <w:rFonts w:ascii="Times New Roman" w:hAnsi="Times New Roman" w:cs="Times New Roman"/>
                <w:b/>
              </w:rPr>
              <w:t>na Sutli 147, Kraljevec na Sutli</w:t>
            </w:r>
            <w:r w:rsidR="009556F7">
              <w:rPr>
                <w:rFonts w:ascii="Times New Roman" w:hAnsi="Times New Roman" w:cs="Times New Roman"/>
                <w:b/>
              </w:rPr>
              <w:t>, OIB: 20992200280</w:t>
            </w:r>
          </w:p>
        </w:tc>
      </w:tr>
      <w:tr w:rsidR="00F814A6" w:rsidRPr="005D4A46" w:rsidTr="00804367">
        <w:trPr>
          <w:gridAfter w:val="1"/>
          <w:wAfter w:w="230" w:type="dxa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Broj, datum i sat zaprimanja ponude</w:t>
            </w:r>
          </w:p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A6" w:rsidRPr="005D4A46" w:rsidRDefault="00205ED3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9. listopada  2017. godine u 7 sati i 10 </w:t>
            </w:r>
            <w:r w:rsidR="00F814A6" w:rsidRPr="005D4A46">
              <w:rPr>
                <w:rFonts w:ascii="Times New Roman" w:hAnsi="Times New Roman" w:cs="Times New Roman"/>
              </w:rPr>
              <w:t>minuta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205ED3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9. listopada 2017. godine u 7 </w:t>
            </w:r>
            <w:r w:rsidR="00900C8C" w:rsidRPr="005D4A46">
              <w:rPr>
                <w:rFonts w:ascii="Times New Roman" w:hAnsi="Times New Roman" w:cs="Times New Roman"/>
              </w:rPr>
              <w:t>sa</w:t>
            </w:r>
            <w:r>
              <w:rPr>
                <w:rFonts w:ascii="Times New Roman" w:hAnsi="Times New Roman" w:cs="Times New Roman"/>
              </w:rPr>
              <w:t>ti i 34</w:t>
            </w:r>
            <w:r w:rsidR="00F814A6" w:rsidRPr="005D4A46">
              <w:rPr>
                <w:rFonts w:ascii="Times New Roman" w:hAnsi="Times New Roman" w:cs="Times New Roman"/>
              </w:rPr>
              <w:t xml:space="preserve"> minute</w:t>
            </w:r>
          </w:p>
        </w:tc>
      </w:tr>
      <w:tr w:rsidR="00BF6528" w:rsidRPr="005D4A46" w:rsidTr="00AF7047">
        <w:trPr>
          <w:trHeight w:val="540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ISPUNJENJE TRAŽENIH KRITERIJA ZA ODABIR GOSPODARSKOG SUBJEKTA (UVJETI SPOSOBNOSTI)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AF7047">
        <w:trPr>
          <w:trHeight w:val="5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SPOSOBNOST ZA OBAVLJANJE PROFESIONALNE DJELATNOSTI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DOSTAVLJENO (DA/NE)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66B57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AF7047">
        <w:trPr>
          <w:trHeight w:val="246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Ponuditelj mora dokazati svoj upis u sudski, obrtni, strukovni ili drugi odgovarajući registar države sjedišta ponuditelja kao dokaz da ima registriranu djelatnost u svezi s predmetom nabave.</w:t>
            </w:r>
          </w:p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  <w:p w:rsidR="00BF6528" w:rsidRPr="005D4A46" w:rsidRDefault="00265114" w:rsidP="00265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Izvadak iz obrtnog registra s datumom od 6. listopada 2017. godine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Da </w:t>
            </w:r>
          </w:p>
          <w:p w:rsidR="00BF6528" w:rsidRPr="005D4A46" w:rsidRDefault="00492BEE" w:rsidP="0049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Izvadak iz sudskog registra s prikazanim podacima od 9. kolovoza 2017. godine</w:t>
            </w: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AF7047">
        <w:trPr>
          <w:trHeight w:val="110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mora dokazati solventnost koja podrazumijeva da nema blokadu glavnog računa 15 i više dana u proteklih 6 mjeseci od dana dostave ponude.</w:t>
            </w:r>
          </w:p>
          <w:p w:rsidR="00BF6528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Ekonomska i financijska sposobnost dokazuje se dokumentom izdanim od bankarskih ili drugih financijskih institucija kojim se dokazuje solventnost gospodarskog (BON-2, SOL-2)</w:t>
            </w:r>
          </w:p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  <w:p w:rsidR="00BF6528" w:rsidRPr="005D4A46" w:rsidRDefault="00265114" w:rsidP="00265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obrazac SOL-2 Zagrebačke banke, na kojem su prikazani podaci o solventnosti na dan 05. listopada 2017. godine, te da nema blokadu u posljednjih 6 mjeseci od dana dostave ponude.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Da </w:t>
            </w:r>
          </w:p>
          <w:p w:rsidR="00BF6528" w:rsidRPr="005D4A46" w:rsidRDefault="00492BEE" w:rsidP="0049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obrazac SOL-2 Zagrebačke banke, na kojem su prikazani podaci o solventnosti na dan 03. listopada 2017. godine, te da nema blokadu u posljednjih 6 mjeseci od dana dostave ponude.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AF7047">
        <w:trPr>
          <w:trHeight w:val="260"/>
        </w:trPr>
        <w:tc>
          <w:tcPr>
            <w:tcW w:w="3846" w:type="dxa"/>
            <w:tcBorders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AF7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28" w:rsidRPr="005D4A46" w:rsidRDefault="00BF6528" w:rsidP="00AF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872" w:rsidRPr="005D4A46" w:rsidTr="00804367">
        <w:trPr>
          <w:gridAfter w:val="1"/>
          <w:wAfter w:w="230" w:type="dxa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D1872" w:rsidRPr="005D4A46" w:rsidRDefault="00DD1872" w:rsidP="006A0B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1872" w:rsidRPr="005D4A46" w:rsidRDefault="00DD1872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OBLIK PONUDE</w:t>
            </w:r>
          </w:p>
          <w:p w:rsidR="00DD1872" w:rsidRPr="005D4A46" w:rsidRDefault="00DD1872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F814A6" w:rsidRPr="005D4A46" w:rsidTr="00804367">
        <w:trPr>
          <w:gridAfter w:val="1"/>
          <w:wAfter w:w="230" w:type="dxa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TRAŽENO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 xml:space="preserve">DOSTAVLJENO </w:t>
            </w: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DOSTAVLJENO</w:t>
            </w: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(DA/NE)</w:t>
            </w:r>
          </w:p>
        </w:tc>
      </w:tr>
      <w:tr w:rsidR="00F814A6" w:rsidRPr="005D4A46" w:rsidTr="00804367">
        <w:trPr>
          <w:trHeight w:val="55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Ponuda ovjerena i potpisana </w:t>
            </w:r>
          </w:p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DA/NE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A6" w:rsidRPr="005D4A46" w:rsidTr="00804367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ind w:left="17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A6" w:rsidRPr="005D4A46" w:rsidTr="00804367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lastRenderedPageBreak/>
              <w:t>Propisano označene stranice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14A6" w:rsidRPr="005D4A46" w:rsidRDefault="00F814A6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F814A6" w:rsidRPr="005D4A46" w:rsidTr="00804367">
        <w:trPr>
          <w:trHeight w:val="2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Ispravci u ponudi</w:t>
            </w:r>
          </w:p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Nije ih bilo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A6" w:rsidRPr="005D4A46" w:rsidTr="00804367">
        <w:trPr>
          <w:trHeight w:val="89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Ponudbeni list s podacima o ponuditelju i ponudi ispunjen, potpisan i ovjeren od strane ovlaštene osobe ponuditelja</w:t>
            </w:r>
          </w:p>
          <w:p w:rsidR="00F814A6" w:rsidRPr="005D4A46" w:rsidRDefault="00F814A6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A6" w:rsidRPr="005D4A46" w:rsidRDefault="00F814A6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14A6" w:rsidRPr="005D4A46" w:rsidRDefault="00F814A6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804367">
        <w:trPr>
          <w:trHeight w:val="5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5D4A46" w:rsidRDefault="00BF6528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 xml:space="preserve">Troškovnik s ispunjenim svim stavkama na način da su upisane jedinične cijene i ukupne cijene za sve stavke troškovnika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  <w:p w:rsidR="00BF6528" w:rsidRPr="00AF3910" w:rsidRDefault="00BF6528" w:rsidP="00AF3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nije iskazao cijenu u Troškovniku u stavci A. IZOLACIJA NESTAMBENOG POTRKOVLJA A1. PR</w:t>
            </w:r>
            <w:r w:rsidR="00492BEE">
              <w:rPr>
                <w:rFonts w:ascii="Times New Roman" w:hAnsi="Times New Roman" w:cs="Times New Roman"/>
              </w:rPr>
              <w:t>IPREMNI RADOVI RUŠENJA I DEMONTAŽE</w:t>
            </w:r>
            <w:r>
              <w:rPr>
                <w:rFonts w:ascii="Times New Roman" w:hAnsi="Times New Roman" w:cs="Times New Roman"/>
              </w:rPr>
              <w:t xml:space="preserve"> opis stavke: </w:t>
            </w:r>
            <w:r w:rsidRPr="00AF3910">
              <w:rPr>
                <w:rFonts w:ascii="Times New Roman" w:hAnsi="Times New Roman" w:cs="Times New Roman"/>
                <w:i/>
              </w:rPr>
              <w:t>Čišćenje tavana od smeća zatečenog na istom, a u svemu prema dogovoru sa investitorom, uključivo odvoz smeća na deoponiju udaljenu do 5 km. Procjenjuje se količina smeća do 20 m²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komplet 1</w:t>
            </w: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ODBIJANJE PONUDE</w:t>
            </w:r>
          </w:p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39">
              <w:rPr>
                <w:rFonts w:ascii="Times New Roman" w:hAnsi="Times New Roman" w:cs="Times New Roman"/>
                <w:b/>
              </w:rPr>
              <w:t>(DA/NE)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28" w:rsidRPr="009A2D39" w:rsidRDefault="00BF6528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28" w:rsidRPr="009A2D39" w:rsidRDefault="00BF6528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751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6A0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39">
              <w:rPr>
                <w:rFonts w:ascii="Times New Roman" w:hAnsi="Times New Roman" w:cs="Times New Roman"/>
                <w:b/>
                <w:sz w:val="24"/>
                <w:szCs w:val="24"/>
              </w:rPr>
              <w:t>RAČUNSKA ISPRAVNOST PONUDE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73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ZAJEDNIČKA OBRTNIČKA RADNJA „GAŠPAR“ vl. Dubravko</w:t>
            </w:r>
            <w:r w:rsidR="00832552">
              <w:rPr>
                <w:rFonts w:ascii="Times New Roman" w:hAnsi="Times New Roman" w:cs="Times New Roman"/>
                <w:b/>
              </w:rPr>
              <w:t xml:space="preserve"> Gašpar </w:t>
            </w:r>
            <w:r>
              <w:rPr>
                <w:rFonts w:ascii="Times New Roman" w:hAnsi="Times New Roman" w:cs="Times New Roman"/>
                <w:b/>
              </w:rPr>
              <w:t xml:space="preserve"> i Zlatko Gašpar, OIB: 04339738870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71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Cijena ponude za predmet nabave bez PDV-a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429.924,20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48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Pr="009A2D39" w:rsidRDefault="00BF6528" w:rsidP="009A2D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46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107.481,05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rPr>
          <w:trHeight w:val="23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Cijena ponude</w:t>
            </w:r>
            <w:r>
              <w:rPr>
                <w:rFonts w:ascii="Times New Roman" w:hAnsi="Times New Roman" w:cs="Times New Roman"/>
              </w:rPr>
              <w:t xml:space="preserve"> sa PDV-om</w:t>
            </w:r>
            <w:r w:rsidRPr="005D4A46">
              <w:rPr>
                <w:rFonts w:ascii="Times New Roman" w:hAnsi="Times New Roman" w:cs="Times New Roman"/>
              </w:rPr>
              <w:t xml:space="preserve"> nakon računske kontrole</w:t>
            </w:r>
            <w:r>
              <w:rPr>
                <w:rFonts w:ascii="Times New Roman" w:hAnsi="Times New Roman" w:cs="Times New Roman"/>
              </w:rPr>
              <w:t xml:space="preserve"> Troškovnika </w:t>
            </w:r>
            <w:r w:rsidRPr="005D4A46">
              <w:rPr>
                <w:rFonts w:ascii="Times New Roman" w:hAnsi="Times New Roman" w:cs="Times New Roman"/>
              </w:rPr>
              <w:t xml:space="preserve">koju </w:t>
            </w:r>
            <w:r>
              <w:rPr>
                <w:rFonts w:ascii="Times New Roman" w:hAnsi="Times New Roman" w:cs="Times New Roman"/>
              </w:rPr>
              <w:t xml:space="preserve">je izvršio  Naručitelj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537.405,25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54667B">
        <w:trPr>
          <w:trHeight w:val="100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28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</w:p>
          <w:p w:rsidR="00BF6528" w:rsidRPr="005D4A46" w:rsidRDefault="00BF6528" w:rsidP="009A2D39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Ukupan iznos ponude koju je ponudio Ponuditelj sa PDV-om</w:t>
            </w:r>
            <w:r>
              <w:rPr>
                <w:rFonts w:ascii="Times New Roman" w:hAnsi="Times New Roman" w:cs="Times New Roman"/>
              </w:rPr>
              <w:t xml:space="preserve"> u Troškovniku i Ponudbenom listu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8" w:rsidRPr="00AF3910" w:rsidRDefault="00BF6528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910">
              <w:rPr>
                <w:rFonts w:ascii="Times New Roman" w:hAnsi="Times New Roman" w:cs="Times New Roman"/>
                <w:b/>
              </w:rPr>
              <w:t>537.405,25 kuna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6528" w:rsidRPr="005D4A46" w:rsidRDefault="00BF6528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67B" w:rsidRPr="005D4A46" w:rsidTr="0054667B">
        <w:trPr>
          <w:trHeight w:val="25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67B">
              <w:rPr>
                <w:rFonts w:ascii="Times New Roman" w:hAnsi="Times New Roman" w:cs="Times New Roman"/>
                <w:b/>
              </w:rPr>
              <w:t>PRIHVATLJIVA/NEPRIHVATLJIVA</w:t>
            </w:r>
          </w:p>
          <w:p w:rsidR="0054667B" w:rsidRPr="0054667B" w:rsidRDefault="0054667B" w:rsidP="009A2D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667B" w:rsidRPr="00AF3910" w:rsidRDefault="0054667B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667B" w:rsidRPr="005D4A46" w:rsidRDefault="0054667B" w:rsidP="006A0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528" w:rsidRPr="005D4A46" w:rsidTr="002058C2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F6528" w:rsidRDefault="00BF6528" w:rsidP="00DD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A46"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492BEE" w:rsidRPr="005D4A46" w:rsidRDefault="00492BEE" w:rsidP="00DD1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F6528" w:rsidRPr="005D4A46" w:rsidRDefault="00BF6528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DB5201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Jezik ponude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265114" w:rsidP="00265114">
            <w:pPr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hrvatski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3E1166">
        <w:trPr>
          <w:gridAfter w:val="1"/>
          <w:wAfter w:w="230" w:type="dxa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Valuta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kuna</w:t>
            </w: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7C3AA4">
        <w:trPr>
          <w:trHeight w:val="71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  <w:r w:rsidRPr="005D4A46">
              <w:rPr>
                <w:rFonts w:ascii="Times New Roman" w:hAnsi="Times New Roman" w:cs="Times New Roman"/>
              </w:rPr>
              <w:t>Rok valjanosti ponude (60 dana od zadnjeg dana roka za dostavu ponude)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  <w:p w:rsidR="00EA4877" w:rsidRDefault="00832552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</w:t>
            </w:r>
          </w:p>
          <w:p w:rsidR="00265114" w:rsidRPr="005D4A46" w:rsidRDefault="00EA4877" w:rsidP="006A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</w:t>
            </w:r>
            <w:r w:rsidR="00832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 Izjavom od 9. listopada 2017. godine izjavio</w:t>
            </w:r>
            <w:r w:rsidR="00832552">
              <w:rPr>
                <w:rFonts w:ascii="Times New Roman" w:hAnsi="Times New Roman" w:cs="Times New Roman"/>
              </w:rPr>
              <w:t xml:space="preserve"> da je rok važenja ponude 60 dana.</w:t>
            </w:r>
          </w:p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114" w:rsidRPr="005D4A46" w:rsidRDefault="00265114" w:rsidP="006A0B44">
            <w:pPr>
              <w:rPr>
                <w:rFonts w:ascii="Times New Roman" w:hAnsi="Times New Roman" w:cs="Times New Roman"/>
              </w:rPr>
            </w:pPr>
          </w:p>
        </w:tc>
      </w:tr>
      <w:tr w:rsidR="00265114" w:rsidRPr="005D4A46" w:rsidTr="00376AEF">
        <w:trPr>
          <w:gridAfter w:val="1"/>
          <w:wAfter w:w="230" w:type="dxa"/>
          <w:trHeight w:val="48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114" w:rsidRPr="00464905" w:rsidRDefault="00265114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OCJENA PONUDA</w:t>
            </w:r>
          </w:p>
          <w:p w:rsidR="00265114" w:rsidRPr="00464905" w:rsidRDefault="00464905" w:rsidP="006A0B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905">
              <w:rPr>
                <w:rFonts w:ascii="Times New Roman" w:hAnsi="Times New Roman" w:cs="Times New Roman"/>
                <w:b/>
              </w:rPr>
              <w:t>(VALJANA/ NE</w:t>
            </w:r>
            <w:r w:rsidR="00265114" w:rsidRPr="00464905">
              <w:rPr>
                <w:rFonts w:ascii="Times New Roman" w:hAnsi="Times New Roman" w:cs="Times New Roman"/>
                <w:b/>
              </w:rPr>
              <w:t>VALJANA)</w:t>
            </w:r>
          </w:p>
          <w:p w:rsidR="00265114" w:rsidRPr="005D4A46" w:rsidRDefault="00265114" w:rsidP="006A0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65114" w:rsidRPr="005D4A46" w:rsidRDefault="00265114" w:rsidP="006A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VALJANA</w:t>
            </w:r>
          </w:p>
        </w:tc>
      </w:tr>
    </w:tbl>
    <w:p w:rsidR="00F814A6" w:rsidRPr="005D4A46" w:rsidRDefault="00F814A6" w:rsidP="00F814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450" w:rsidRDefault="00FE6450" w:rsidP="00F81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Kriterij za odabir: </w:t>
      </w:r>
      <w:r w:rsidR="00FE6450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266FE8" w:rsidRDefault="00266FE8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5114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65114" w:rsidRPr="00266FE8">
        <w:rPr>
          <w:rFonts w:ascii="Times New Roman" w:hAnsi="Times New Roman" w:cs="Times New Roman"/>
          <w:b/>
          <w:sz w:val="24"/>
          <w:szCs w:val="24"/>
        </w:rPr>
        <w:t xml:space="preserve">Podaci o pojašnjenju </w:t>
      </w:r>
      <w:r w:rsidR="00266FE8" w:rsidRPr="00266FE8">
        <w:rPr>
          <w:rFonts w:ascii="Times New Roman" w:hAnsi="Times New Roman" w:cs="Times New Roman"/>
          <w:b/>
          <w:sz w:val="24"/>
          <w:szCs w:val="24"/>
        </w:rPr>
        <w:t>ili upotpunjavanju dijela ponude:</w:t>
      </w:r>
    </w:p>
    <w:p w:rsidR="00266FE8" w:rsidRDefault="00266FE8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22">
        <w:rPr>
          <w:rFonts w:ascii="Times New Roman" w:hAnsi="Times New Roman" w:cs="Times New Roman"/>
          <w:sz w:val="24"/>
          <w:szCs w:val="24"/>
        </w:rPr>
        <w:t>Prilikom pregleda i ocjen</w:t>
      </w:r>
      <w:r w:rsidR="00A85A22" w:rsidRPr="00A85A22">
        <w:rPr>
          <w:rFonts w:ascii="Times New Roman" w:hAnsi="Times New Roman" w:cs="Times New Roman"/>
          <w:sz w:val="24"/>
          <w:szCs w:val="24"/>
        </w:rPr>
        <w:t>e ponude utvrđeno je da ponuditelj ZAJEDNIČKA OBRTNIČKA RADNJA „GAŠPRA“, vl. Dubravko Gašpar i Zlatko Gašpar</w:t>
      </w:r>
      <w:r w:rsidR="00492BEE">
        <w:rPr>
          <w:rFonts w:ascii="Times New Roman" w:hAnsi="Times New Roman" w:cs="Times New Roman"/>
          <w:sz w:val="24"/>
          <w:szCs w:val="24"/>
        </w:rPr>
        <w:t xml:space="preserve"> iz Klanjca, Police 54,</w:t>
      </w:r>
      <w:r w:rsidR="00A85A22" w:rsidRPr="00A85A22">
        <w:rPr>
          <w:rFonts w:ascii="Times New Roman" w:hAnsi="Times New Roman" w:cs="Times New Roman"/>
          <w:sz w:val="24"/>
          <w:szCs w:val="24"/>
        </w:rPr>
        <w:t xml:space="preserve"> naznačio rok valjanosti ponude 30 dana od dana dostave ponude. Od navedenog ponuditelja dopisom KLASA: 361-01/17-01/305, URBROJ: 2140/01-02-1</w:t>
      </w:r>
      <w:r w:rsidR="00A85A22">
        <w:rPr>
          <w:rFonts w:ascii="Times New Roman" w:hAnsi="Times New Roman" w:cs="Times New Roman"/>
          <w:sz w:val="24"/>
          <w:szCs w:val="24"/>
        </w:rPr>
        <w:t>7-9 od 9. listopada 2017. godine zatražena je Izjava kojim ponuditelj izjavljuje koji j</w:t>
      </w:r>
      <w:r w:rsidR="00724C8E">
        <w:rPr>
          <w:rFonts w:ascii="Times New Roman" w:hAnsi="Times New Roman" w:cs="Times New Roman"/>
          <w:sz w:val="24"/>
          <w:szCs w:val="24"/>
        </w:rPr>
        <w:t>e rok valjanosti njegove ponude, obzirom da je točkom 12. Poziva na dostavu ponude propisano da je rok valjanosti ponude 60 dana od zadnjeg dana roka za dostavu ponude, s time da ponuditelj može odrediti dulji rok važenja ponude.</w:t>
      </w:r>
    </w:p>
    <w:p w:rsidR="00724C8E" w:rsidRDefault="00EA487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mail-a dana 9. </w:t>
      </w:r>
      <w:r w:rsidR="00724C8E">
        <w:rPr>
          <w:rFonts w:ascii="Times New Roman" w:hAnsi="Times New Roman" w:cs="Times New Roman"/>
          <w:sz w:val="24"/>
          <w:szCs w:val="24"/>
        </w:rPr>
        <w:t xml:space="preserve">listopada 2017. godine navedeni ponuditelj dostavio je izjavu kojim izjavljuje da je rok valjanosti </w:t>
      </w:r>
      <w:r>
        <w:rPr>
          <w:rFonts w:ascii="Times New Roman" w:hAnsi="Times New Roman" w:cs="Times New Roman"/>
          <w:sz w:val="24"/>
          <w:szCs w:val="24"/>
        </w:rPr>
        <w:t>njegove ponude 60 dana od zadnjeg dana roka za dostavu ponude.</w:t>
      </w:r>
    </w:p>
    <w:p w:rsidR="00492BEE" w:rsidRDefault="00492BEE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E" w:rsidRDefault="00492BEE" w:rsidP="0049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E" w:rsidRDefault="00A87CAF" w:rsidP="00492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92BEE">
        <w:rPr>
          <w:rFonts w:ascii="Times New Roman" w:hAnsi="Times New Roman" w:cs="Times New Roman"/>
          <w:b/>
          <w:sz w:val="24"/>
          <w:szCs w:val="24"/>
        </w:rPr>
        <w:t xml:space="preserve">Podaci o ponuditeljima čije su ponude na osnovi rezultata pregleda i ocjene ponuda nepravilne te obrazloženje razloga za njihovo odbijanje: </w:t>
      </w:r>
    </w:p>
    <w:p w:rsidR="00492BEE" w:rsidRDefault="00492BEE" w:rsidP="0049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E">
        <w:rPr>
          <w:rFonts w:ascii="Times New Roman" w:hAnsi="Times New Roman" w:cs="Times New Roman"/>
          <w:sz w:val="24"/>
          <w:szCs w:val="24"/>
        </w:rPr>
        <w:t>Ponudit</w:t>
      </w:r>
      <w:r>
        <w:rPr>
          <w:rFonts w:ascii="Times New Roman" w:hAnsi="Times New Roman" w:cs="Times New Roman"/>
          <w:sz w:val="24"/>
          <w:szCs w:val="24"/>
        </w:rPr>
        <w:t>elj ZAGORJEGRADNJA</w:t>
      </w:r>
      <w:r w:rsidRPr="00492BEE">
        <w:rPr>
          <w:rFonts w:ascii="Times New Roman" w:hAnsi="Times New Roman" w:cs="Times New Roman"/>
          <w:sz w:val="24"/>
          <w:szCs w:val="24"/>
        </w:rPr>
        <w:t xml:space="preserve"> d.o.o., iz Kraljevca na Sutli, Kraljevec na Sutli 147, u svojoj ponudi dostavio je Troškovnik</w:t>
      </w:r>
      <w:r>
        <w:rPr>
          <w:rFonts w:ascii="Times New Roman" w:hAnsi="Times New Roman" w:cs="Times New Roman"/>
          <w:sz w:val="24"/>
          <w:szCs w:val="24"/>
        </w:rPr>
        <w:t xml:space="preserve"> u kojem nije iskazao cijenu </w:t>
      </w:r>
      <w:r w:rsidRPr="00492BEE">
        <w:rPr>
          <w:rFonts w:ascii="Times New Roman" w:hAnsi="Times New Roman" w:cs="Times New Roman"/>
          <w:sz w:val="24"/>
          <w:szCs w:val="24"/>
        </w:rPr>
        <w:t>u stavci A. IZOLACIJA NESTAMBENOG POTRKOVLJA A1. PRIP</w:t>
      </w:r>
      <w:r w:rsidR="00366B57">
        <w:rPr>
          <w:rFonts w:ascii="Times New Roman" w:hAnsi="Times New Roman" w:cs="Times New Roman"/>
          <w:sz w:val="24"/>
          <w:szCs w:val="24"/>
        </w:rPr>
        <w:t xml:space="preserve">REMNI RADOVI RUŠENJA I DEMONTAŽE </w:t>
      </w:r>
      <w:r w:rsidRPr="00492BEE">
        <w:rPr>
          <w:rFonts w:ascii="Times New Roman" w:hAnsi="Times New Roman" w:cs="Times New Roman"/>
          <w:sz w:val="24"/>
          <w:szCs w:val="24"/>
        </w:rPr>
        <w:t xml:space="preserve">opis stavke: </w:t>
      </w:r>
      <w:r w:rsidRPr="00492BEE">
        <w:rPr>
          <w:rFonts w:ascii="Times New Roman" w:hAnsi="Times New Roman" w:cs="Times New Roman"/>
          <w:i/>
          <w:sz w:val="24"/>
          <w:szCs w:val="24"/>
        </w:rPr>
        <w:t xml:space="preserve">Čišćenje tavana od smeća zatečenog na istom, a u svemu prema dogovoru sa investitorom, uključivo odvoz smeća na deoponiju udaljenu do 5 km. Procjenjuje se količina smeća do 20 m² </w:t>
      </w:r>
      <w:r w:rsidRPr="00492BEE">
        <w:rPr>
          <w:rFonts w:ascii="Times New Roman" w:hAnsi="Times New Roman" w:cs="Times New Roman"/>
          <w:sz w:val="24"/>
          <w:szCs w:val="24"/>
        </w:rPr>
        <w:t>- komplet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BEE" w:rsidRDefault="00492BEE" w:rsidP="0049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je </w:t>
      </w:r>
      <w:r w:rsidR="005F19B7">
        <w:rPr>
          <w:rFonts w:ascii="Times New Roman" w:hAnsi="Times New Roman" w:cs="Times New Roman"/>
          <w:sz w:val="24"/>
          <w:szCs w:val="24"/>
        </w:rPr>
        <w:t xml:space="preserve">točkom 8. Poziv na dostavu ponude između ostalog navedeno, </w:t>
      </w:r>
      <w:r w:rsidR="00B313CC">
        <w:rPr>
          <w:rFonts w:ascii="Times New Roman" w:hAnsi="Times New Roman" w:cs="Times New Roman"/>
          <w:sz w:val="24"/>
          <w:szCs w:val="24"/>
        </w:rPr>
        <w:t>da je ponuditelj dužan ispuniti Troškovnik u cijelosti, sve stavke Troškovnika, te da ukoliko ponuditelj ne ispuni Troškovnik u skladu sa zah</w:t>
      </w:r>
      <w:r w:rsidR="005E56A1">
        <w:rPr>
          <w:rFonts w:ascii="Times New Roman" w:hAnsi="Times New Roman" w:cs="Times New Roman"/>
          <w:sz w:val="24"/>
          <w:szCs w:val="24"/>
        </w:rPr>
        <w:t xml:space="preserve">tjevima iz ove Dokumentacije o nabavi ili tekst ili količine navedene u Troškovniku, smatrati će se da je takav Troškovnik nepotpun i nevažeći te će ponuda biti odbijena, ponuda ponuditelja je odbijena i nije razmatrana u daljnjem pregledu i ocijeni ponuda. </w:t>
      </w:r>
    </w:p>
    <w:p w:rsidR="00446ED2" w:rsidRDefault="00446ED2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Rangiranje </w:t>
      </w:r>
      <w:r w:rsidR="00984073">
        <w:rPr>
          <w:rFonts w:ascii="Times New Roman" w:hAnsi="Times New Roman" w:cs="Times New Roman"/>
          <w:b/>
          <w:sz w:val="24"/>
          <w:szCs w:val="24"/>
        </w:rPr>
        <w:t xml:space="preserve">valjanih </w:t>
      </w:r>
      <w:r w:rsidR="00FE6450" w:rsidRPr="007A3541">
        <w:rPr>
          <w:rFonts w:ascii="Times New Roman" w:hAnsi="Times New Roman" w:cs="Times New Roman"/>
          <w:b/>
          <w:sz w:val="24"/>
          <w:szCs w:val="24"/>
        </w:rPr>
        <w:t xml:space="preserve">ponuda sukladno kriteriju za odabir: </w:t>
      </w:r>
    </w:p>
    <w:p w:rsidR="005E56A1" w:rsidRPr="00035F2E" w:rsidRDefault="005E56A1" w:rsidP="00FE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2E">
        <w:rPr>
          <w:rFonts w:ascii="Times New Roman" w:hAnsi="Times New Roman" w:cs="Times New Roman"/>
          <w:sz w:val="24"/>
          <w:szCs w:val="24"/>
        </w:rPr>
        <w:t xml:space="preserve">1. ZAJEDNIČKA OBRTNIČKA RADNJA </w:t>
      </w:r>
      <w:r w:rsidR="00832552" w:rsidRPr="00035F2E">
        <w:rPr>
          <w:rFonts w:ascii="Times New Roman" w:hAnsi="Times New Roman" w:cs="Times New Roman"/>
          <w:sz w:val="24"/>
          <w:szCs w:val="24"/>
        </w:rPr>
        <w:t>„GAŠPAR“ vl. Dub</w:t>
      </w:r>
      <w:r w:rsidR="00035F2E" w:rsidRPr="00035F2E">
        <w:rPr>
          <w:rFonts w:ascii="Times New Roman" w:hAnsi="Times New Roman" w:cs="Times New Roman"/>
          <w:sz w:val="24"/>
          <w:szCs w:val="24"/>
        </w:rPr>
        <w:t>ravko Gašpar i Zlatko Gašpar, Police 54, Klanjec</w:t>
      </w:r>
      <w:r w:rsidR="00A87CAF">
        <w:rPr>
          <w:rFonts w:ascii="Times New Roman" w:hAnsi="Times New Roman" w:cs="Times New Roman"/>
          <w:sz w:val="24"/>
          <w:szCs w:val="24"/>
        </w:rPr>
        <w:t>.</w:t>
      </w:r>
    </w:p>
    <w:p w:rsidR="00B212CC" w:rsidRDefault="00B212CC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Prijedlog ovlaštenoj osobi Naručitelja </w:t>
      </w:r>
      <w:r w:rsidR="001B4F93">
        <w:rPr>
          <w:rFonts w:ascii="Times New Roman" w:hAnsi="Times New Roman" w:cs="Times New Roman"/>
          <w:b/>
          <w:sz w:val="24"/>
          <w:szCs w:val="24"/>
        </w:rPr>
        <w:t xml:space="preserve">za donošenje Obavijesti o odabiru najpovoljnije ponude </w:t>
      </w:r>
      <w:r w:rsidR="00FE645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 </w:t>
      </w:r>
    </w:p>
    <w:p w:rsidR="00035F2E" w:rsidRDefault="00035F2E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jednostavne nabave za izvođenje radova na energetskoj obnovi vanjske ovojnice Područne škole Lučelnica</w:t>
      </w:r>
      <w:r w:rsidR="00A87CAF">
        <w:rPr>
          <w:rFonts w:ascii="Times New Roman" w:hAnsi="Times New Roman" w:cs="Times New Roman"/>
          <w:sz w:val="24"/>
          <w:szCs w:val="24"/>
        </w:rPr>
        <w:t xml:space="preserve"> zaprimljene su dvije ponude ponuditelja  navedenih u točki 7. ovog Zapisnika. </w:t>
      </w:r>
    </w:p>
    <w:p w:rsidR="00A87CAF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ponuditelja ZAGO</w:t>
      </w:r>
      <w:r w:rsidR="00EA4877">
        <w:rPr>
          <w:rFonts w:ascii="Times New Roman" w:hAnsi="Times New Roman" w:cs="Times New Roman"/>
          <w:sz w:val="24"/>
          <w:szCs w:val="24"/>
        </w:rPr>
        <w:t>RJEGRADNJA d.o.o.  Kraljevec na Sutli 147, Kraljevec na Sutli u postupku pregleda i ocjene ponuda odbijena je iz razloga navedenih u točki 12. Zapisnika.</w:t>
      </w:r>
    </w:p>
    <w:p w:rsidR="0054667B" w:rsidRPr="001B4F93" w:rsidRDefault="00EA4877" w:rsidP="0054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ponuditelja </w:t>
      </w:r>
      <w:r w:rsidRPr="00035F2E">
        <w:rPr>
          <w:rFonts w:ascii="Times New Roman" w:hAnsi="Times New Roman" w:cs="Times New Roman"/>
          <w:sz w:val="24"/>
          <w:szCs w:val="24"/>
        </w:rPr>
        <w:t>ZAJEDNIČKA OBRTNIČKA RADNJA „GAŠPAR“ vl. Dubravko Gašpar i Zlatko Gašpar, Police 54, Klanjec</w:t>
      </w:r>
      <w:r w:rsidR="0054667B">
        <w:rPr>
          <w:rFonts w:ascii="Times New Roman" w:hAnsi="Times New Roman" w:cs="Times New Roman"/>
          <w:sz w:val="24"/>
          <w:szCs w:val="24"/>
        </w:rPr>
        <w:t>, u postupku pregleda</w:t>
      </w:r>
      <w:r>
        <w:rPr>
          <w:rFonts w:ascii="Times New Roman" w:hAnsi="Times New Roman" w:cs="Times New Roman"/>
          <w:sz w:val="24"/>
          <w:szCs w:val="24"/>
        </w:rPr>
        <w:t xml:space="preserve"> i ocjena ponuda ocjenjena je kao </w:t>
      </w:r>
      <w:r w:rsidR="0054667B">
        <w:rPr>
          <w:rFonts w:ascii="Times New Roman" w:hAnsi="Times New Roman" w:cs="Times New Roman"/>
          <w:sz w:val="24"/>
          <w:szCs w:val="24"/>
        </w:rPr>
        <w:t>valjana, iz razloga jer u potpunosti zadovoljava uvjete i zahtjeve iz Poziva na dostavu ponude, te je cijena ponude od 429.924,20 kuna bez PDV-a, iznosom PDV-a od  107.481,05 kuna, odnosno ukupnom cijenom ponude s PDV-om od 537.405,25  kuna, ocijenjena kao prihvatljiva, te temeljem kriterija za odabir (najniža cijena) kao najpovoljnija.</w:t>
      </w:r>
    </w:p>
    <w:p w:rsidR="005D4A46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navedenog predlaže se županu Krapinsko-zagorsk</w:t>
      </w:r>
      <w:r w:rsidR="00F705EF">
        <w:rPr>
          <w:rFonts w:ascii="Times New Roman" w:hAnsi="Times New Roman" w:cs="Times New Roman"/>
          <w:sz w:val="24"/>
          <w:szCs w:val="24"/>
        </w:rPr>
        <w:t>e županije da sukladno članku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5EF">
        <w:rPr>
          <w:rFonts w:ascii="Times New Roman" w:hAnsi="Times New Roman" w:cs="Times New Roman"/>
          <w:sz w:val="24"/>
          <w:szCs w:val="24"/>
        </w:rPr>
        <w:t xml:space="preserve"> stavku  7. Pravilnika  </w:t>
      </w:r>
      <w:r w:rsidR="0005560D">
        <w:rPr>
          <w:rFonts w:ascii="Times New Roman" w:hAnsi="Times New Roman" w:cs="Times New Roman"/>
          <w:sz w:val="24"/>
          <w:szCs w:val="24"/>
        </w:rPr>
        <w:t xml:space="preserve">donese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0D">
        <w:rPr>
          <w:rFonts w:ascii="Times New Roman" w:hAnsi="Times New Roman" w:cs="Times New Roman"/>
          <w:sz w:val="24"/>
          <w:szCs w:val="24"/>
        </w:rPr>
        <w:t>o</w:t>
      </w:r>
      <w:r w:rsidR="00F705EF">
        <w:rPr>
          <w:rFonts w:ascii="Times New Roman" w:hAnsi="Times New Roman" w:cs="Times New Roman"/>
          <w:sz w:val="24"/>
          <w:szCs w:val="24"/>
        </w:rPr>
        <w:t xml:space="preserve">bavijest o </w:t>
      </w:r>
      <w:r w:rsidR="0054667B">
        <w:rPr>
          <w:rFonts w:ascii="Times New Roman" w:hAnsi="Times New Roman" w:cs="Times New Roman"/>
          <w:sz w:val="24"/>
          <w:szCs w:val="24"/>
        </w:rPr>
        <w:t xml:space="preserve">odabiru najpovoljnije ponude </w:t>
      </w:r>
    </w:p>
    <w:p w:rsidR="005D4A46" w:rsidRDefault="005D4A46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Pr="004D2EFE" w:rsidRDefault="00A87CAF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4D2EFE">
        <w:rPr>
          <w:rFonts w:ascii="Times New Roman" w:hAnsi="Times New Roman" w:cs="Times New Roman"/>
          <w:b/>
          <w:sz w:val="24"/>
          <w:szCs w:val="24"/>
        </w:rPr>
        <w:t xml:space="preserve">Otvaranje, pregled i ocjenu ponuda proveli su članovi Stručnog povjerenstva </w:t>
      </w:r>
      <w:r w:rsidR="004D2EFE" w:rsidRPr="004D2EFE">
        <w:rPr>
          <w:rFonts w:ascii="Times New Roman" w:hAnsi="Times New Roman" w:cs="Times New Roman"/>
          <w:b/>
          <w:sz w:val="24"/>
          <w:szCs w:val="24"/>
        </w:rPr>
        <w:t>za provedbu postupka jednosta</w:t>
      </w:r>
      <w:r w:rsidR="00366B57">
        <w:rPr>
          <w:rFonts w:ascii="Times New Roman" w:hAnsi="Times New Roman" w:cs="Times New Roman"/>
          <w:b/>
          <w:sz w:val="24"/>
          <w:szCs w:val="24"/>
        </w:rPr>
        <w:t>vne nabave</w:t>
      </w:r>
      <w:r w:rsidR="004D2EFE">
        <w:rPr>
          <w:rFonts w:ascii="Times New Roman" w:hAnsi="Times New Roman" w:cs="Times New Roman"/>
          <w:b/>
          <w:sz w:val="24"/>
          <w:szCs w:val="24"/>
        </w:rPr>
        <w:t>:</w:t>
      </w:r>
    </w:p>
    <w:p w:rsidR="00FE6450" w:rsidRPr="004D2EFE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Cigula, dipl. oecc. ______________________________</w:t>
      </w:r>
    </w:p>
    <w:p w:rsidR="00FE6450" w:rsidRDefault="00FE6450" w:rsidP="00FE6450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>Ljiljana Horvat, dipl. iur.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366B5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E6450" w:rsidRDefault="00FE6450" w:rsidP="00FE64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57" w:rsidRDefault="00366B5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57" w:rsidRDefault="00366B5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450" w:rsidRDefault="00366B57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7 sati i 30</w:t>
      </w:r>
      <w:r w:rsidR="00FE6450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FE6450" w:rsidRDefault="00FE6450" w:rsidP="00FE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66B57">
        <w:rPr>
          <w:rFonts w:ascii="Times New Roman" w:hAnsi="Times New Roman" w:cs="Times New Roman"/>
          <w:sz w:val="24"/>
          <w:szCs w:val="24"/>
        </w:rPr>
        <w:t>Krapini, 10. listopada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4D2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6450" w:rsidRDefault="00FE6450" w:rsidP="00FE6450"/>
    <w:p w:rsidR="00FE6450" w:rsidRDefault="00FE6450" w:rsidP="00FE6450"/>
    <w:p w:rsidR="00366B57" w:rsidRDefault="00366B57" w:rsidP="00FE6450"/>
    <w:p w:rsidR="00366B57" w:rsidRDefault="00366B57" w:rsidP="00FE6450"/>
    <w:p w:rsidR="00366B57" w:rsidRDefault="00366B57" w:rsidP="00FE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Prilog:</w:t>
      </w:r>
    </w:p>
    <w:p w:rsidR="00366B57" w:rsidRPr="00366B57" w:rsidRDefault="00366B57" w:rsidP="00FE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57">
        <w:rPr>
          <w:rFonts w:ascii="Times New Roman" w:hAnsi="Times New Roman" w:cs="Times New Roman"/>
          <w:sz w:val="24"/>
          <w:szCs w:val="24"/>
        </w:rPr>
        <w:t>1. Zahtjev za objašnjenje roka valjanosti ponude KLASA: 361-01/17-01/305, URBROJ: 2140/01-02-17-9 od 9. listopada 2017. godine</w:t>
      </w:r>
    </w:p>
    <w:p w:rsidR="007B481D" w:rsidRDefault="00366B57" w:rsidP="00843A45">
      <w:pPr>
        <w:spacing w:after="0" w:line="240" w:lineRule="auto"/>
      </w:pPr>
      <w:r w:rsidRPr="00366B57">
        <w:rPr>
          <w:rFonts w:ascii="Times New Roman" w:hAnsi="Times New Roman" w:cs="Times New Roman"/>
          <w:sz w:val="24"/>
          <w:szCs w:val="24"/>
        </w:rPr>
        <w:t xml:space="preserve">2. Izjava ZAJEDNIČKA OBRTNIČKA RADNJA „GAŠPAR“ vl. </w:t>
      </w:r>
      <w:r>
        <w:rPr>
          <w:rFonts w:ascii="Times New Roman" w:hAnsi="Times New Roman" w:cs="Times New Roman"/>
          <w:sz w:val="24"/>
          <w:szCs w:val="24"/>
        </w:rPr>
        <w:t>Dubravko Gašpar i Zlatko Gašpar.</w:t>
      </w:r>
      <w:bookmarkStart w:id="0" w:name="_GoBack"/>
      <w:bookmarkEnd w:id="0"/>
    </w:p>
    <w:sectPr w:rsidR="007B48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70" w:rsidRDefault="00D23F70" w:rsidP="00016359">
      <w:pPr>
        <w:spacing w:after="0" w:line="240" w:lineRule="auto"/>
      </w:pPr>
      <w:r>
        <w:separator/>
      </w:r>
    </w:p>
  </w:endnote>
  <w:endnote w:type="continuationSeparator" w:id="0">
    <w:p w:rsidR="00D23F70" w:rsidRDefault="00D23F70" w:rsidP="000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120685"/>
      <w:docPartObj>
        <w:docPartGallery w:val="Page Numbers (Bottom of Page)"/>
        <w:docPartUnique/>
      </w:docPartObj>
    </w:sdtPr>
    <w:sdtEndPr/>
    <w:sdtContent>
      <w:p w:rsidR="00946EFC" w:rsidRDefault="00946E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45">
          <w:rPr>
            <w:noProof/>
          </w:rPr>
          <w:t>3</w:t>
        </w:r>
        <w:r>
          <w:fldChar w:fldCharType="end"/>
        </w:r>
      </w:p>
    </w:sdtContent>
  </w:sdt>
  <w:p w:rsidR="00946EFC" w:rsidRDefault="00946E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70" w:rsidRDefault="00D23F70" w:rsidP="00016359">
      <w:pPr>
        <w:spacing w:after="0" w:line="240" w:lineRule="auto"/>
      </w:pPr>
      <w:r>
        <w:separator/>
      </w:r>
    </w:p>
  </w:footnote>
  <w:footnote w:type="continuationSeparator" w:id="0">
    <w:p w:rsidR="00D23F70" w:rsidRDefault="00D23F70" w:rsidP="000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4"/>
    <w:rsid w:val="00013296"/>
    <w:rsid w:val="00016359"/>
    <w:rsid w:val="00035F2E"/>
    <w:rsid w:val="0005560D"/>
    <w:rsid w:val="00057D29"/>
    <w:rsid w:val="00097F37"/>
    <w:rsid w:val="0012683D"/>
    <w:rsid w:val="001468A4"/>
    <w:rsid w:val="00147973"/>
    <w:rsid w:val="00164451"/>
    <w:rsid w:val="001A5028"/>
    <w:rsid w:val="001B4F93"/>
    <w:rsid w:val="001D0A1B"/>
    <w:rsid w:val="001E5806"/>
    <w:rsid w:val="0020204C"/>
    <w:rsid w:val="00204844"/>
    <w:rsid w:val="00205ED3"/>
    <w:rsid w:val="00242B1E"/>
    <w:rsid w:val="00247470"/>
    <w:rsid w:val="00263473"/>
    <w:rsid w:val="00265114"/>
    <w:rsid w:val="00266FE8"/>
    <w:rsid w:val="00281A7C"/>
    <w:rsid w:val="002C605A"/>
    <w:rsid w:val="002F1B25"/>
    <w:rsid w:val="002F1EC9"/>
    <w:rsid w:val="00307F53"/>
    <w:rsid w:val="003461C4"/>
    <w:rsid w:val="0036463D"/>
    <w:rsid w:val="00366B57"/>
    <w:rsid w:val="00374D73"/>
    <w:rsid w:val="003C41B7"/>
    <w:rsid w:val="003D75A9"/>
    <w:rsid w:val="004000C5"/>
    <w:rsid w:val="00420FCC"/>
    <w:rsid w:val="00446ED2"/>
    <w:rsid w:val="00462D51"/>
    <w:rsid w:val="00464905"/>
    <w:rsid w:val="00471E87"/>
    <w:rsid w:val="00492BEE"/>
    <w:rsid w:val="004D2EFE"/>
    <w:rsid w:val="004E002F"/>
    <w:rsid w:val="004E567F"/>
    <w:rsid w:val="005172A1"/>
    <w:rsid w:val="0054667B"/>
    <w:rsid w:val="005518A3"/>
    <w:rsid w:val="00563876"/>
    <w:rsid w:val="005A47F6"/>
    <w:rsid w:val="005D4A46"/>
    <w:rsid w:val="005E56A1"/>
    <w:rsid w:val="005F19B7"/>
    <w:rsid w:val="00654F85"/>
    <w:rsid w:val="00694C4B"/>
    <w:rsid w:val="006F59EC"/>
    <w:rsid w:val="00706D51"/>
    <w:rsid w:val="00724C8E"/>
    <w:rsid w:val="007417C6"/>
    <w:rsid w:val="00746626"/>
    <w:rsid w:val="0079571F"/>
    <w:rsid w:val="007A11D5"/>
    <w:rsid w:val="007A3541"/>
    <w:rsid w:val="007A5BBC"/>
    <w:rsid w:val="007B481D"/>
    <w:rsid w:val="00804367"/>
    <w:rsid w:val="00832552"/>
    <w:rsid w:val="00843A45"/>
    <w:rsid w:val="008869E9"/>
    <w:rsid w:val="008A302E"/>
    <w:rsid w:val="008B3541"/>
    <w:rsid w:val="008B3E7E"/>
    <w:rsid w:val="008C25A4"/>
    <w:rsid w:val="008E5B9F"/>
    <w:rsid w:val="00900C8C"/>
    <w:rsid w:val="00903D50"/>
    <w:rsid w:val="009077E3"/>
    <w:rsid w:val="00907853"/>
    <w:rsid w:val="00935001"/>
    <w:rsid w:val="00946EFC"/>
    <w:rsid w:val="009556F7"/>
    <w:rsid w:val="009561D4"/>
    <w:rsid w:val="00984073"/>
    <w:rsid w:val="00994540"/>
    <w:rsid w:val="009946D5"/>
    <w:rsid w:val="009A2D39"/>
    <w:rsid w:val="009A784F"/>
    <w:rsid w:val="00A108F7"/>
    <w:rsid w:val="00A6376F"/>
    <w:rsid w:val="00A63CF3"/>
    <w:rsid w:val="00A85A22"/>
    <w:rsid w:val="00A87CAF"/>
    <w:rsid w:val="00A91281"/>
    <w:rsid w:val="00AB487D"/>
    <w:rsid w:val="00AC009A"/>
    <w:rsid w:val="00AC041F"/>
    <w:rsid w:val="00AC49D0"/>
    <w:rsid w:val="00AD5EC4"/>
    <w:rsid w:val="00AE37F6"/>
    <w:rsid w:val="00AF3910"/>
    <w:rsid w:val="00B04973"/>
    <w:rsid w:val="00B131AD"/>
    <w:rsid w:val="00B2013A"/>
    <w:rsid w:val="00B212CC"/>
    <w:rsid w:val="00B313CC"/>
    <w:rsid w:val="00B404B9"/>
    <w:rsid w:val="00B56484"/>
    <w:rsid w:val="00B6017E"/>
    <w:rsid w:val="00B729A9"/>
    <w:rsid w:val="00B75F2B"/>
    <w:rsid w:val="00B85700"/>
    <w:rsid w:val="00BC72F2"/>
    <w:rsid w:val="00BD405E"/>
    <w:rsid w:val="00BD6295"/>
    <w:rsid w:val="00BE074C"/>
    <w:rsid w:val="00BF53EB"/>
    <w:rsid w:val="00BF6528"/>
    <w:rsid w:val="00C47D65"/>
    <w:rsid w:val="00C50A16"/>
    <w:rsid w:val="00C61B0D"/>
    <w:rsid w:val="00C87274"/>
    <w:rsid w:val="00CB45E3"/>
    <w:rsid w:val="00CB646C"/>
    <w:rsid w:val="00CC2A5B"/>
    <w:rsid w:val="00CC6062"/>
    <w:rsid w:val="00CD329D"/>
    <w:rsid w:val="00D05AFF"/>
    <w:rsid w:val="00D05FA2"/>
    <w:rsid w:val="00D16948"/>
    <w:rsid w:val="00D16A80"/>
    <w:rsid w:val="00D23F70"/>
    <w:rsid w:val="00D25116"/>
    <w:rsid w:val="00D67E02"/>
    <w:rsid w:val="00D80828"/>
    <w:rsid w:val="00D956E1"/>
    <w:rsid w:val="00DC1FA9"/>
    <w:rsid w:val="00DC54D0"/>
    <w:rsid w:val="00DD1872"/>
    <w:rsid w:val="00DD7934"/>
    <w:rsid w:val="00DE0DB0"/>
    <w:rsid w:val="00E20EB4"/>
    <w:rsid w:val="00E407D0"/>
    <w:rsid w:val="00E44376"/>
    <w:rsid w:val="00E87DFA"/>
    <w:rsid w:val="00EA0E01"/>
    <w:rsid w:val="00EA0E0C"/>
    <w:rsid w:val="00EA4877"/>
    <w:rsid w:val="00ED0BD5"/>
    <w:rsid w:val="00F06CF8"/>
    <w:rsid w:val="00F266DE"/>
    <w:rsid w:val="00F4387A"/>
    <w:rsid w:val="00F705EF"/>
    <w:rsid w:val="00F73620"/>
    <w:rsid w:val="00F814A6"/>
    <w:rsid w:val="00F90BD0"/>
    <w:rsid w:val="00F93D9F"/>
    <w:rsid w:val="00FB122D"/>
    <w:rsid w:val="00FB664B"/>
    <w:rsid w:val="00FC11B2"/>
    <w:rsid w:val="00FD5849"/>
    <w:rsid w:val="00FE1E83"/>
    <w:rsid w:val="00FE6450"/>
    <w:rsid w:val="00FE7232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CC0C1-FF69-483D-A336-05262C6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D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50"/>
    <w:pPr>
      <w:ind w:left="720"/>
      <w:contextualSpacing/>
    </w:pPr>
  </w:style>
  <w:style w:type="table" w:styleId="Reetkatablice">
    <w:name w:val="Table Grid"/>
    <w:basedOn w:val="Obinatablica"/>
    <w:uiPriority w:val="59"/>
    <w:rsid w:val="00903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59"/>
  </w:style>
  <w:style w:type="paragraph" w:styleId="Podnoje">
    <w:name w:val="footer"/>
    <w:basedOn w:val="Normal"/>
    <w:link w:val="PodnojeChar"/>
    <w:uiPriority w:val="99"/>
    <w:unhideWhenUsed/>
    <w:rsid w:val="0001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59"/>
  </w:style>
  <w:style w:type="paragraph" w:styleId="Tekstbalonia">
    <w:name w:val="Balloon Text"/>
    <w:basedOn w:val="Normal"/>
    <w:link w:val="TekstbaloniaChar"/>
    <w:uiPriority w:val="99"/>
    <w:semiHidden/>
    <w:unhideWhenUsed/>
    <w:rsid w:val="000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3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FB122D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06C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/nabava-radovi-podrucna-skola-luceln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3BD-575E-40C1-9BB1-E057D33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12</cp:revision>
  <cp:lastPrinted>2017-10-10T05:44:00Z</cp:lastPrinted>
  <dcterms:created xsi:type="dcterms:W3CDTF">2017-10-09T09:47:00Z</dcterms:created>
  <dcterms:modified xsi:type="dcterms:W3CDTF">2017-10-10T10:08:00Z</dcterms:modified>
</cp:coreProperties>
</file>